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360" w:lineRule="auto"/>
        <w:rPr>
          <w:rFonts w:ascii="黑体" w:hAnsi="黑体" w:eastAsia="黑体" w:cs="宋体"/>
          <w:sz w:val="28"/>
          <w:szCs w:val="28"/>
        </w:rPr>
      </w:pPr>
      <w:r>
        <w:rPr>
          <w:rFonts w:hint="eastAsia" w:ascii="黑体" w:hAnsi="黑体" w:eastAsia="黑体" w:cs="宋体"/>
          <w:sz w:val="28"/>
          <w:szCs w:val="28"/>
          <w:lang w:val="en-US" w:eastAsia="zh-CN"/>
        </w:rPr>
        <w:t>附件、</w:t>
      </w:r>
      <w:r>
        <w:rPr>
          <w:rFonts w:ascii="黑体" w:hAnsi="黑体" w:eastAsia="黑体" w:cs="宋体"/>
          <w:sz w:val="28"/>
          <w:szCs w:val="28"/>
        </w:rPr>
        <w:t xml:space="preserve"> </w:t>
      </w:r>
      <w:r>
        <w:rPr>
          <w:rFonts w:hint="eastAsia" w:ascii="黑体" w:hAnsi="黑体" w:eastAsia="黑体" w:cs="宋体"/>
          <w:sz w:val="28"/>
          <w:szCs w:val="28"/>
        </w:rPr>
        <w:t>采购第三方录制2024年成都市中等职业学校教师教学能力（含思想政治教育课程）比赛参赛视频</w:t>
      </w:r>
      <w:bookmarkStart w:id="0" w:name="_GoBack"/>
      <w:bookmarkEnd w:id="0"/>
      <w:r>
        <w:rPr>
          <w:rFonts w:hint="eastAsia" w:ascii="黑体" w:hAnsi="黑体" w:eastAsia="黑体" w:cs="宋体"/>
          <w:sz w:val="28"/>
          <w:szCs w:val="28"/>
        </w:rPr>
        <w:t>项目具体要求</w:t>
      </w:r>
    </w:p>
    <w:p>
      <w:pPr>
        <w:pStyle w:val="20"/>
        <w:snapToGrid w:val="0"/>
        <w:spacing w:line="360" w:lineRule="auto"/>
        <w:ind w:firstLine="640" w:firstLineChars="200"/>
        <w:rPr>
          <w:rFonts w:hint="eastAsia"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一、项目概况</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根据《2024年成都市中等职业技术学校教师教学能力大赛的通知》和《2024年成都市中等职业学校思想政治教育课程教师教学能力比赛的通知》要求，针对比赛作品现场录制服务、资源服务等，顺利完成2024年教师教学能力大赛和思想政治教育课程教师教学能力比赛参赛作品录制及制作服务。</w:t>
      </w:r>
    </w:p>
    <w:tbl>
      <w:tblPr>
        <w:tblStyle w:val="13"/>
        <w:tblpPr w:leftFromText="180" w:rightFromText="180" w:vertAnchor="text" w:horzAnchor="page" w:tblpX="1574" w:tblpY="449"/>
        <w:tblOverlap w:val="never"/>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1673"/>
        <w:gridCol w:w="6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 w:type="dxa"/>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kinsoku/>
              <w:wordWrap/>
              <w:overflowPunct/>
              <w:topLinePunct w:val="0"/>
              <w:bidi w:val="0"/>
              <w:snapToGrid w:val="0"/>
              <w:spacing w:line="520" w:lineRule="atLeast"/>
              <w:textAlignment w:val="auto"/>
              <w:rPr>
                <w:rFonts w:hint="eastAsia" w:ascii="宋体" w:hAnsi="宋体" w:eastAsia="宋体" w:cs="Calibri"/>
                <w:color w:val="000000"/>
                <w:kern w:val="2"/>
                <w:sz w:val="28"/>
                <w:szCs w:val="28"/>
                <w:lang w:val="en-US" w:eastAsia="zh-CN" w:bidi="ar-SA"/>
              </w:rPr>
            </w:pPr>
            <w:r>
              <w:rPr>
                <w:rFonts w:hint="eastAsia" w:ascii="宋体" w:hAnsi="宋体" w:eastAsia="宋体" w:cs="Calibri"/>
                <w:color w:val="000000"/>
                <w:kern w:val="2"/>
                <w:sz w:val="28"/>
                <w:szCs w:val="28"/>
                <w:lang w:val="en-US" w:eastAsia="zh-CN" w:bidi="ar-SA"/>
              </w:rPr>
              <w:t>序号</w:t>
            </w:r>
          </w:p>
        </w:tc>
        <w:tc>
          <w:tcPr>
            <w:tcW w:w="1673" w:type="dxa"/>
            <w:tcBorders>
              <w:top w:val="single" w:color="auto" w:sz="4" w:space="0"/>
              <w:left w:val="nil"/>
              <w:bottom w:val="single" w:color="auto" w:sz="4" w:space="0"/>
              <w:right w:val="single" w:color="auto" w:sz="4" w:space="0"/>
            </w:tcBorders>
            <w:noWrap w:val="0"/>
            <w:vAlign w:val="center"/>
          </w:tcPr>
          <w:p>
            <w:pPr>
              <w:pStyle w:val="20"/>
              <w:keepNext w:val="0"/>
              <w:keepLines w:val="0"/>
              <w:pageBreakBefore w:val="0"/>
              <w:kinsoku/>
              <w:wordWrap/>
              <w:overflowPunct/>
              <w:topLinePunct w:val="0"/>
              <w:bidi w:val="0"/>
              <w:snapToGrid w:val="0"/>
              <w:spacing w:line="520" w:lineRule="atLeast"/>
              <w:textAlignment w:val="auto"/>
              <w:rPr>
                <w:rFonts w:hint="eastAsia" w:ascii="宋体" w:hAnsi="宋体" w:eastAsia="宋体" w:cs="Calibri"/>
                <w:color w:val="000000"/>
                <w:kern w:val="2"/>
                <w:sz w:val="28"/>
                <w:szCs w:val="28"/>
                <w:lang w:val="en-US" w:eastAsia="zh-CN" w:bidi="ar-SA"/>
              </w:rPr>
            </w:pPr>
            <w:r>
              <w:rPr>
                <w:rFonts w:hint="eastAsia" w:ascii="宋体" w:hAnsi="宋体" w:eastAsia="宋体" w:cs="Calibri"/>
                <w:color w:val="000000"/>
                <w:kern w:val="2"/>
                <w:sz w:val="28"/>
                <w:szCs w:val="28"/>
                <w:lang w:val="en-US" w:eastAsia="zh-CN" w:bidi="ar-SA"/>
              </w:rPr>
              <w:t>服务项目</w:t>
            </w:r>
          </w:p>
        </w:tc>
        <w:tc>
          <w:tcPr>
            <w:tcW w:w="6270" w:type="dxa"/>
            <w:tcBorders>
              <w:top w:val="single" w:color="auto" w:sz="4" w:space="0"/>
              <w:left w:val="nil"/>
              <w:bottom w:val="single" w:color="auto" w:sz="4" w:space="0"/>
              <w:right w:val="single" w:color="auto" w:sz="4" w:space="0"/>
            </w:tcBorders>
            <w:noWrap w:val="0"/>
            <w:vAlign w:val="center"/>
          </w:tcPr>
          <w:p>
            <w:pPr>
              <w:pStyle w:val="20"/>
              <w:keepNext w:val="0"/>
              <w:keepLines w:val="0"/>
              <w:pageBreakBefore w:val="0"/>
              <w:kinsoku/>
              <w:wordWrap/>
              <w:overflowPunct/>
              <w:topLinePunct w:val="0"/>
              <w:bidi w:val="0"/>
              <w:snapToGrid w:val="0"/>
              <w:spacing w:line="520" w:lineRule="atLeast"/>
              <w:ind w:firstLine="560" w:firstLineChars="200"/>
              <w:textAlignment w:val="auto"/>
              <w:rPr>
                <w:rFonts w:hint="eastAsia" w:ascii="宋体" w:hAnsi="宋体" w:eastAsia="宋体" w:cs="Calibri"/>
                <w:color w:val="000000"/>
                <w:kern w:val="2"/>
                <w:sz w:val="28"/>
                <w:szCs w:val="28"/>
                <w:lang w:val="en-US" w:eastAsia="zh-CN" w:bidi="ar-SA"/>
              </w:rPr>
            </w:pPr>
            <w:r>
              <w:rPr>
                <w:rFonts w:hint="eastAsia" w:ascii="宋体" w:hAnsi="宋体" w:eastAsia="宋体" w:cs="Calibri"/>
                <w:color w:val="000000"/>
                <w:kern w:val="2"/>
                <w:sz w:val="28"/>
                <w:szCs w:val="28"/>
                <w:lang w:val="en-US" w:eastAsia="zh-CN" w:bidi="ar-SA"/>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trPr>
        <w:tc>
          <w:tcPr>
            <w:tcW w:w="880" w:type="dxa"/>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kinsoku/>
              <w:wordWrap/>
              <w:overflowPunct/>
              <w:topLinePunct w:val="0"/>
              <w:bidi w:val="0"/>
              <w:snapToGrid w:val="0"/>
              <w:spacing w:line="520" w:lineRule="atLeast"/>
              <w:textAlignment w:val="auto"/>
              <w:rPr>
                <w:rFonts w:hint="eastAsia" w:ascii="宋体" w:hAnsi="宋体" w:eastAsia="宋体" w:cs="Calibri"/>
                <w:color w:val="000000"/>
                <w:kern w:val="2"/>
                <w:sz w:val="28"/>
                <w:szCs w:val="28"/>
                <w:lang w:val="en-US" w:eastAsia="zh-CN" w:bidi="ar-SA"/>
              </w:rPr>
            </w:pPr>
            <w:r>
              <w:rPr>
                <w:rFonts w:hint="eastAsia" w:ascii="宋体" w:hAnsi="宋体" w:eastAsia="宋体" w:cs="Calibri"/>
                <w:color w:val="000000"/>
                <w:kern w:val="2"/>
                <w:sz w:val="28"/>
                <w:szCs w:val="28"/>
                <w:lang w:val="en-US" w:eastAsia="zh-CN" w:bidi="ar-SA"/>
              </w:rPr>
              <w:t>1</w:t>
            </w:r>
          </w:p>
        </w:tc>
        <w:tc>
          <w:tcPr>
            <w:tcW w:w="1673" w:type="dxa"/>
            <w:tcBorders>
              <w:top w:val="single" w:color="auto" w:sz="4" w:space="0"/>
              <w:left w:val="nil"/>
              <w:bottom w:val="single" w:color="auto" w:sz="4" w:space="0"/>
              <w:right w:val="single" w:color="auto" w:sz="4" w:space="0"/>
            </w:tcBorders>
            <w:noWrap w:val="0"/>
            <w:vAlign w:val="center"/>
          </w:tcPr>
          <w:p>
            <w:pPr>
              <w:pStyle w:val="20"/>
              <w:keepNext w:val="0"/>
              <w:keepLines w:val="0"/>
              <w:pageBreakBefore w:val="0"/>
              <w:kinsoku/>
              <w:wordWrap/>
              <w:overflowPunct/>
              <w:topLinePunct w:val="0"/>
              <w:bidi w:val="0"/>
              <w:snapToGrid w:val="0"/>
              <w:spacing w:line="520" w:lineRule="atLeast"/>
              <w:textAlignment w:val="auto"/>
              <w:rPr>
                <w:rFonts w:hint="default" w:ascii="宋体" w:hAnsi="宋体" w:eastAsia="宋体" w:cs="Calibri"/>
                <w:color w:val="000000"/>
                <w:kern w:val="2"/>
                <w:sz w:val="28"/>
                <w:szCs w:val="28"/>
                <w:lang w:val="en-US" w:eastAsia="zh-CN" w:bidi="ar-SA"/>
              </w:rPr>
            </w:pPr>
            <w:r>
              <w:rPr>
                <w:rFonts w:hint="eastAsia" w:ascii="宋体" w:hAnsi="宋体" w:eastAsia="宋体" w:cs="Calibri"/>
                <w:color w:val="000000"/>
                <w:kern w:val="2"/>
                <w:sz w:val="28"/>
                <w:szCs w:val="28"/>
                <w:lang w:val="en-US" w:eastAsia="zh-CN" w:bidi="ar-SA"/>
              </w:rPr>
              <w:t>参赛作品录制及制作服务</w:t>
            </w:r>
          </w:p>
        </w:tc>
        <w:tc>
          <w:tcPr>
            <w:tcW w:w="6270" w:type="dxa"/>
            <w:tcBorders>
              <w:top w:val="single" w:color="auto" w:sz="4" w:space="0"/>
              <w:left w:val="nil"/>
              <w:bottom w:val="single" w:color="auto" w:sz="4" w:space="0"/>
              <w:right w:val="single" w:color="auto" w:sz="4" w:space="0"/>
            </w:tcBorders>
            <w:noWrap w:val="0"/>
            <w:vAlign w:val="center"/>
          </w:tcPr>
          <w:p>
            <w:pPr>
              <w:pStyle w:val="20"/>
              <w:keepNext w:val="0"/>
              <w:keepLines w:val="0"/>
              <w:pageBreakBefore w:val="0"/>
              <w:kinsoku/>
              <w:wordWrap/>
              <w:overflowPunct/>
              <w:topLinePunct w:val="0"/>
              <w:bidi w:val="0"/>
              <w:snapToGrid w:val="0"/>
              <w:spacing w:line="520" w:lineRule="atLeast"/>
              <w:textAlignment w:val="auto"/>
              <w:rPr>
                <w:rFonts w:hint="eastAsia" w:ascii="宋体" w:hAnsi="宋体" w:eastAsia="宋体" w:cs="Calibri"/>
                <w:color w:val="000000"/>
                <w:kern w:val="2"/>
                <w:sz w:val="28"/>
                <w:szCs w:val="28"/>
                <w:lang w:val="en-US" w:eastAsia="zh-CN" w:bidi="ar-SA"/>
              </w:rPr>
            </w:pPr>
            <w:r>
              <w:rPr>
                <w:rFonts w:hint="eastAsia" w:ascii="宋体" w:hAnsi="宋体" w:eastAsia="宋体" w:cs="Calibri"/>
                <w:color w:val="000000"/>
                <w:kern w:val="2"/>
                <w:sz w:val="28"/>
                <w:szCs w:val="28"/>
                <w:lang w:val="en-US" w:eastAsia="zh-CN" w:bidi="ar-SA"/>
              </w:rPr>
              <w:t>★1.灯光服务：负责参赛作品现场录制现场的灯光环境搭建；</w:t>
            </w:r>
          </w:p>
          <w:p>
            <w:pPr>
              <w:pStyle w:val="20"/>
              <w:keepNext w:val="0"/>
              <w:keepLines w:val="0"/>
              <w:pageBreakBefore w:val="0"/>
              <w:kinsoku/>
              <w:wordWrap/>
              <w:overflowPunct/>
              <w:topLinePunct w:val="0"/>
              <w:bidi w:val="0"/>
              <w:snapToGrid w:val="0"/>
              <w:spacing w:line="520" w:lineRule="atLeast"/>
              <w:textAlignment w:val="auto"/>
              <w:rPr>
                <w:rFonts w:hint="default" w:ascii="宋体" w:hAnsi="宋体" w:eastAsia="宋体" w:cs="Calibri"/>
                <w:color w:val="000000"/>
                <w:kern w:val="2"/>
                <w:sz w:val="28"/>
                <w:szCs w:val="28"/>
                <w:lang w:val="en-US" w:eastAsia="zh-CN" w:bidi="ar-SA"/>
              </w:rPr>
            </w:pPr>
            <w:r>
              <w:rPr>
                <w:rFonts w:hint="eastAsia" w:ascii="宋体" w:hAnsi="宋体" w:eastAsia="宋体" w:cs="Calibri"/>
                <w:color w:val="000000"/>
                <w:kern w:val="2"/>
                <w:sz w:val="28"/>
                <w:szCs w:val="28"/>
                <w:lang w:val="en-US" w:eastAsia="zh-CN" w:bidi="ar-SA"/>
              </w:rPr>
              <w:t>★2.摄像服务：</w:t>
            </w:r>
            <w:r>
              <w:rPr>
                <w:rFonts w:hint="default" w:ascii="宋体" w:hAnsi="宋体" w:eastAsia="宋体" w:cs="Calibri"/>
                <w:color w:val="000000"/>
                <w:kern w:val="2"/>
                <w:sz w:val="28"/>
                <w:szCs w:val="28"/>
                <w:lang w:val="en-US" w:eastAsia="zh-CN" w:bidi="ar-SA"/>
              </w:rPr>
              <w:t>负责</w:t>
            </w:r>
            <w:r>
              <w:rPr>
                <w:rFonts w:hint="eastAsia" w:ascii="宋体" w:hAnsi="宋体" w:eastAsia="宋体" w:cs="Calibri"/>
                <w:color w:val="000000"/>
                <w:kern w:val="2"/>
                <w:sz w:val="28"/>
                <w:szCs w:val="28"/>
                <w:lang w:val="en-US" w:eastAsia="zh-CN" w:bidi="ar-SA"/>
              </w:rPr>
              <w:t>参赛作品</w:t>
            </w:r>
            <w:r>
              <w:rPr>
                <w:rFonts w:hint="default" w:ascii="宋体" w:hAnsi="宋体" w:eastAsia="宋体" w:cs="Calibri"/>
                <w:color w:val="000000"/>
                <w:kern w:val="2"/>
                <w:sz w:val="28"/>
                <w:szCs w:val="28"/>
                <w:lang w:val="en-US" w:eastAsia="zh-CN" w:bidi="ar-SA"/>
              </w:rPr>
              <w:t>全程专业摄像录制</w:t>
            </w:r>
            <w:r>
              <w:rPr>
                <w:rFonts w:hint="eastAsia" w:ascii="宋体" w:hAnsi="宋体" w:eastAsia="宋体" w:cs="Calibri"/>
                <w:color w:val="000000"/>
                <w:kern w:val="2"/>
                <w:sz w:val="28"/>
                <w:szCs w:val="28"/>
                <w:lang w:val="en-US" w:eastAsia="zh-CN" w:bidi="ar-SA"/>
              </w:rPr>
              <w:t>及制作；</w:t>
            </w:r>
            <w:r>
              <w:rPr>
                <w:rFonts w:hint="default" w:ascii="宋体" w:hAnsi="宋体" w:eastAsia="宋体" w:cs="Calibri"/>
                <w:color w:val="000000"/>
                <w:kern w:val="2"/>
                <w:sz w:val="28"/>
                <w:szCs w:val="28"/>
                <w:lang w:val="en-US" w:eastAsia="zh-CN" w:bidi="ar-SA"/>
              </w:rPr>
              <w:t xml:space="preserve"> </w:t>
            </w:r>
          </w:p>
        </w:tc>
      </w:tr>
    </w:tbl>
    <w:p>
      <w:pPr>
        <w:pStyle w:val="20"/>
        <w:keepNext w:val="0"/>
        <w:keepLines w:val="0"/>
        <w:pageBreakBefore w:val="0"/>
        <w:kinsoku/>
        <w:wordWrap/>
        <w:overflowPunct/>
        <w:topLinePunct w:val="0"/>
        <w:bidi w:val="0"/>
        <w:snapToGrid w:val="0"/>
        <w:spacing w:line="520" w:lineRule="atLeast"/>
        <w:ind w:firstLine="640" w:firstLineChars="200"/>
        <w:textAlignment w:val="auto"/>
        <w:rPr>
          <w:rFonts w:hint="default"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二、项目录制视频分组及数量情况</w:t>
      </w:r>
    </w:p>
    <w:p>
      <w:pPr>
        <w:keepNext w:val="0"/>
        <w:keepLines w:val="0"/>
        <w:pageBreakBefore w:val="0"/>
        <w:widowControl/>
        <w:suppressLineNumbers w:val="0"/>
        <w:kinsoku/>
        <w:wordWrap/>
        <w:overflowPunct/>
        <w:topLinePunct w:val="0"/>
        <w:autoSpaceDE/>
        <w:autoSpaceDN/>
        <w:bidi w:val="0"/>
        <w:adjustRightInd/>
        <w:snapToGrid/>
        <w:spacing w:after="0" w:line="520" w:lineRule="atLeast"/>
        <w:ind w:left="0" w:leftChars="0" w:firstLine="752" w:firstLineChars="235"/>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（一）专业课程一组：装备制造类、生物与化工和幼儿保育大类各1组，每个团队录制4节完整的课，每节课40-45分钟，小计12节；</w:t>
      </w:r>
    </w:p>
    <w:p>
      <w:pPr>
        <w:keepNext w:val="0"/>
        <w:keepLines w:val="0"/>
        <w:pageBreakBefore w:val="0"/>
        <w:widowControl/>
        <w:suppressLineNumbers w:val="0"/>
        <w:kinsoku/>
        <w:wordWrap/>
        <w:overflowPunct/>
        <w:topLinePunct w:val="0"/>
        <w:autoSpaceDE/>
        <w:autoSpaceDN/>
        <w:bidi w:val="0"/>
        <w:adjustRightInd/>
        <w:snapToGrid/>
        <w:spacing w:after="0" w:line="520" w:lineRule="atLeast"/>
        <w:ind w:left="0" w:leftChars="0" w:firstLine="752" w:firstLineChars="235"/>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（二）专业课程二组：纺织服装大类、土木建筑大类和电子与信息大类各1组，每个团队录制4节完整的课，每节课40-45分钟，小计12节；</w:t>
      </w:r>
    </w:p>
    <w:p>
      <w:pPr>
        <w:keepNext w:val="0"/>
        <w:keepLines w:val="0"/>
        <w:pageBreakBefore w:val="0"/>
        <w:widowControl/>
        <w:suppressLineNumbers w:val="0"/>
        <w:kinsoku/>
        <w:wordWrap/>
        <w:overflowPunct/>
        <w:topLinePunct w:val="0"/>
        <w:autoSpaceDE/>
        <w:autoSpaceDN/>
        <w:bidi w:val="0"/>
        <w:adjustRightInd/>
        <w:snapToGrid/>
        <w:spacing w:after="0" w:line="520" w:lineRule="atLeast"/>
        <w:ind w:left="0" w:leftChars="0" w:firstLine="752" w:firstLineChars="235"/>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（三）思想政治课程大赛：1个团队，每个团队录制1节完整的课，每节课40-45分钟，小计1节；</w:t>
      </w:r>
    </w:p>
    <w:p>
      <w:pPr>
        <w:keepNext w:val="0"/>
        <w:keepLines w:val="0"/>
        <w:pageBreakBefore w:val="0"/>
        <w:widowControl/>
        <w:suppressLineNumbers w:val="0"/>
        <w:kinsoku/>
        <w:wordWrap/>
        <w:overflowPunct/>
        <w:topLinePunct w:val="0"/>
        <w:autoSpaceDE/>
        <w:autoSpaceDN/>
        <w:bidi w:val="0"/>
        <w:adjustRightInd/>
        <w:snapToGrid/>
        <w:spacing w:after="0" w:line="520" w:lineRule="atLeast"/>
        <w:ind w:left="0" w:leftChars="0" w:firstLine="752" w:firstLineChars="235"/>
        <w:jc w:val="lef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教师教学能力大赛及思政课技能大赛录制节数合计25节，最终录制节数以实际参赛团队录制节数为准。</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三、服务内容及范围</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（一）服务人员配置</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kern w:val="2"/>
          <w:sz w:val="32"/>
          <w:szCs w:val="32"/>
          <w:lang w:val="en-US" w:eastAsia="zh-CN" w:bidi="ar-SA"/>
        </w:rPr>
        <w:t>服务供应商应擅长参赛视频拍摄制作，且</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具有类似课程拍摄经验，了解教学规律、理解教师教学能力比赛内涵。本项目负责人具有丰富的比赛经验，且具有类似比赛经历。能够为采购人配备人数规模合适专业化团队，团队人数不低于5人。团队人员配置包含编导、摄影摄像、后期、后台工程师、客服等，应保证满足比赛过程中的各项要求（提供团队人员劳动合同等在职证明材料、提供负责人影视编导证书复印件）。</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（二）服务内容及范围</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服务内容包括录制现场灯光布置、参赛作品录制及制作、决赛现场直播服务等。</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（三）后期制作要求</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本项目后期负责人具有丰富的资源建设理念和经验，且具有类似项目经历。</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拍摄要求以视频为主要载体，为围绕校级比赛内容展开、基全程摄影摄像，含现场拍摄的直播。</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四、设施设备配置要求</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（一）拍摄设备：专业4K广播级摄影机、专业镜头、独脚架加稳定器等2套以上，根据参赛团队要求提供脚架、手持拍摄所需设施设备。</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（二）音频设备：广播级专业话筒,配备调音台，保证还原真实声音。</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（三）灯光设备：专业电影、电视灯光（arri、kino等）面光灯、背景灯、轮廓灯、造型灯等。</w:t>
      </w:r>
    </w:p>
    <w:p>
      <w:pPr>
        <w:pStyle w:val="20"/>
        <w:keepNext w:val="0"/>
        <w:keepLines w:val="0"/>
        <w:pageBreakBefore w:val="0"/>
        <w:kinsoku/>
        <w:wordWrap/>
        <w:overflowPunct/>
        <w:topLinePunct w:val="0"/>
        <w:bidi w:val="0"/>
        <w:snapToGrid w:val="0"/>
        <w:spacing w:line="520" w:lineRule="atLeast"/>
        <w:ind w:firstLine="640" w:firstLineChars="200"/>
        <w:textAlignment w:val="auto"/>
        <w:rPr>
          <w:rFonts w:hint="default"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五、竞赛视频技术要求</w:t>
      </w:r>
    </w:p>
    <w:p>
      <w:pPr>
        <w:keepNext w:val="0"/>
        <w:keepLines w:val="0"/>
        <w:pageBreakBefore w:val="0"/>
        <w:kinsoku/>
        <w:wordWrap/>
        <w:overflowPunct/>
        <w:topLinePunct w:val="0"/>
        <w:bidi w:val="0"/>
        <w:spacing w:after="0" w:line="52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（一）课堂实录视频须采用 3 机位全程连续录制，镜头固定，其中一个机位对准黑板和屏幕，另两个机位根据教学实际固定镜头位置，须覆盖教室全景（1 学时教学需要两个教学场所的，每个教学场所均须安放固定镜头，机位总数为 3 个）。3 机位须同步录制，保证音视频准确同步。录课过程中拍摄及其他人员不在场，提交的视频从拍摄人员离场开始到拍摄人员停机为止（1学时之外的录制时长不超过 2 分钟）。所有机位拍摄的视频须保证音轨连续，不另行剪辑及配音，不加片头片尾、字幕注解。视频采用 MP4 格式封装，单个视频文件大小不超过 500M。每段视频文件以“教案序号+第几学时+教案页码+教学环节名称”来命名（其中教案页码以教案 PDF 文件顶部显示的页码为准），含教师实操演示与教学指导的视频文件以“教案序号+第几学时+教案页码+教学环节名称+实操起始时间 n'm"-实操结束时间n'm"”来命名（实操起止时间可以多段，用“+”连接）。 </w:t>
      </w:r>
    </w:p>
    <w:p>
      <w:pPr>
        <w:keepNext w:val="0"/>
        <w:keepLines w:val="0"/>
        <w:pageBreakBefore w:val="0"/>
        <w:kinsoku/>
        <w:wordWrap/>
        <w:overflowPunct/>
        <w:topLinePunct w:val="0"/>
        <w:bidi w:val="0"/>
        <w:spacing w:after="0" w:line="52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（二）视频录制采用 H.264/AVC 编码格式压缩；动态比特率（码流）不低于 1024Kbps，分辨率设定为 1280×720，采用逐行扫描，帧速率为 25 帧/秒。音频采用 AAC 格式压缩，采样率48KHz，比特率（码流）128Kbps（恒定）。</w:t>
      </w:r>
    </w:p>
    <w:p>
      <w:pPr>
        <w:pStyle w:val="20"/>
        <w:snapToGrid w:val="0"/>
        <w:spacing w:line="360" w:lineRule="auto"/>
        <w:rPr>
          <w:rFonts w:hint="eastAsia" w:ascii="黑体" w:hAnsi="黑体" w:eastAsia="黑体" w:cs="黑体"/>
          <w:color w:val="000000"/>
          <w:kern w:val="2"/>
          <w:sz w:val="32"/>
          <w:szCs w:val="32"/>
          <w:lang w:val="en-US" w:eastAsia="zh-CN" w:bidi="ar-SA"/>
        </w:rPr>
      </w:pPr>
    </w:p>
    <w:p>
      <w:pPr>
        <w:pStyle w:val="20"/>
        <w:snapToGrid w:val="0"/>
        <w:spacing w:line="360" w:lineRule="auto"/>
        <w:ind w:firstLine="640" w:firstLineChars="200"/>
        <w:rPr>
          <w:rFonts w:hint="default"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六、评分表</w:t>
      </w:r>
    </w:p>
    <w:tbl>
      <w:tblPr>
        <w:tblStyle w:val="14"/>
        <w:tblW w:w="88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480"/>
        <w:gridCol w:w="840"/>
        <w:gridCol w:w="5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55" w:type="dxa"/>
            <w:noWrap w:val="0"/>
            <w:vAlign w:val="center"/>
          </w:tcPr>
          <w:p>
            <w:pPr>
              <w:spacing w:after="0" w:line="360" w:lineRule="auto"/>
              <w:jc w:val="center"/>
              <w:rPr>
                <w:rFonts w:hint="eastAsia" w:ascii="宋体" w:hAnsi="宋体" w:eastAsia="宋体"/>
                <w:sz w:val="28"/>
                <w:szCs w:val="28"/>
              </w:rPr>
            </w:pPr>
            <w:r>
              <w:rPr>
                <w:rFonts w:hint="eastAsia" w:ascii="宋体" w:hAnsi="宋体" w:eastAsia="宋体"/>
                <w:sz w:val="28"/>
                <w:szCs w:val="28"/>
              </w:rPr>
              <w:t>序号</w:t>
            </w:r>
          </w:p>
        </w:tc>
        <w:tc>
          <w:tcPr>
            <w:tcW w:w="1480" w:type="dxa"/>
            <w:noWrap w:val="0"/>
            <w:vAlign w:val="center"/>
          </w:tcPr>
          <w:p>
            <w:pPr>
              <w:spacing w:after="0" w:line="360" w:lineRule="auto"/>
              <w:jc w:val="center"/>
              <w:rPr>
                <w:rFonts w:hint="eastAsia" w:ascii="宋体" w:hAnsi="宋体" w:eastAsia="宋体"/>
                <w:sz w:val="28"/>
                <w:szCs w:val="28"/>
              </w:rPr>
            </w:pPr>
            <w:r>
              <w:rPr>
                <w:rFonts w:hint="eastAsia" w:ascii="宋体" w:hAnsi="宋体" w:eastAsia="宋体"/>
                <w:sz w:val="28"/>
                <w:szCs w:val="28"/>
              </w:rPr>
              <w:t>评分因素及权重</w:t>
            </w:r>
          </w:p>
        </w:tc>
        <w:tc>
          <w:tcPr>
            <w:tcW w:w="840" w:type="dxa"/>
            <w:noWrap w:val="0"/>
            <w:vAlign w:val="center"/>
          </w:tcPr>
          <w:p>
            <w:pPr>
              <w:spacing w:after="0" w:line="360" w:lineRule="auto"/>
              <w:jc w:val="center"/>
              <w:rPr>
                <w:rFonts w:hint="eastAsia" w:ascii="宋体" w:hAnsi="宋体" w:eastAsia="宋体"/>
                <w:sz w:val="28"/>
                <w:szCs w:val="28"/>
              </w:rPr>
            </w:pPr>
            <w:r>
              <w:rPr>
                <w:rFonts w:hint="eastAsia" w:ascii="宋体" w:hAnsi="宋体" w:eastAsia="宋体"/>
                <w:sz w:val="28"/>
                <w:szCs w:val="28"/>
              </w:rPr>
              <w:t>分值</w:t>
            </w:r>
          </w:p>
        </w:tc>
        <w:tc>
          <w:tcPr>
            <w:tcW w:w="5688" w:type="dxa"/>
            <w:noWrap w:val="0"/>
            <w:vAlign w:val="center"/>
          </w:tcPr>
          <w:p>
            <w:pPr>
              <w:spacing w:after="0" w:line="360" w:lineRule="auto"/>
              <w:jc w:val="center"/>
              <w:rPr>
                <w:rFonts w:hint="eastAsia" w:ascii="宋体" w:hAnsi="宋体" w:eastAsia="宋体"/>
                <w:sz w:val="28"/>
                <w:szCs w:val="28"/>
              </w:rPr>
            </w:pPr>
            <w:r>
              <w:rPr>
                <w:rFonts w:hint="eastAsia" w:ascii="宋体" w:hAnsi="宋体" w:eastAsia="宋体"/>
                <w:sz w:val="28"/>
                <w:szCs w:val="28"/>
              </w:rPr>
              <w:t>评分标准说明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noWrap w:val="0"/>
            <w:vAlign w:val="center"/>
          </w:tcPr>
          <w:p>
            <w:pPr>
              <w:spacing w:after="0" w:line="360" w:lineRule="auto"/>
              <w:jc w:val="center"/>
              <w:rPr>
                <w:rFonts w:hint="eastAsia" w:ascii="宋体" w:hAnsi="宋体" w:eastAsia="宋体"/>
                <w:sz w:val="28"/>
                <w:szCs w:val="28"/>
                <w:vertAlign w:val="baseline"/>
              </w:rPr>
            </w:pPr>
            <w:r>
              <w:rPr>
                <w:rFonts w:hint="eastAsia" w:ascii="宋体" w:hAnsi="宋体" w:eastAsia="宋体"/>
                <w:sz w:val="28"/>
                <w:szCs w:val="28"/>
              </w:rPr>
              <w:t>1</w:t>
            </w:r>
          </w:p>
        </w:tc>
        <w:tc>
          <w:tcPr>
            <w:tcW w:w="1480" w:type="dxa"/>
            <w:noWrap w:val="0"/>
            <w:vAlign w:val="center"/>
          </w:tcPr>
          <w:p>
            <w:pPr>
              <w:spacing w:after="0" w:line="360" w:lineRule="auto"/>
              <w:jc w:val="center"/>
              <w:rPr>
                <w:rFonts w:hint="eastAsia" w:ascii="宋体" w:hAnsi="宋体" w:eastAsia="宋体"/>
                <w:sz w:val="28"/>
                <w:szCs w:val="28"/>
                <w:vertAlign w:val="baseline"/>
              </w:rPr>
            </w:pPr>
            <w:r>
              <w:rPr>
                <w:rFonts w:hint="eastAsia" w:ascii="宋体" w:hAnsi="宋体" w:eastAsia="宋体"/>
                <w:sz w:val="28"/>
                <w:szCs w:val="28"/>
              </w:rPr>
              <w:t>报价</w:t>
            </w:r>
            <w:r>
              <w:rPr>
                <w:rFonts w:hint="eastAsia" w:ascii="宋体" w:hAnsi="宋体" w:eastAsia="宋体"/>
                <w:sz w:val="28"/>
                <w:szCs w:val="28"/>
                <w:lang w:val="en-US" w:eastAsia="zh-CN"/>
              </w:rPr>
              <w:t>30</w:t>
            </w:r>
            <w:r>
              <w:rPr>
                <w:rFonts w:hint="eastAsia" w:ascii="宋体" w:hAnsi="宋体" w:eastAsia="宋体"/>
                <w:sz w:val="28"/>
                <w:szCs w:val="28"/>
              </w:rPr>
              <w:t>%</w:t>
            </w:r>
          </w:p>
        </w:tc>
        <w:tc>
          <w:tcPr>
            <w:tcW w:w="840" w:type="dxa"/>
            <w:noWrap w:val="0"/>
            <w:vAlign w:val="center"/>
          </w:tcPr>
          <w:p>
            <w:pPr>
              <w:spacing w:after="0" w:line="360" w:lineRule="auto"/>
              <w:jc w:val="center"/>
              <w:rPr>
                <w:rFonts w:hint="eastAsia" w:ascii="宋体" w:hAnsi="宋体" w:eastAsia="宋体"/>
                <w:sz w:val="28"/>
                <w:szCs w:val="28"/>
                <w:vertAlign w:val="baseline"/>
              </w:rPr>
            </w:pPr>
            <w:r>
              <w:rPr>
                <w:rFonts w:hint="eastAsia" w:ascii="宋体" w:hAnsi="宋体" w:eastAsia="宋体"/>
                <w:sz w:val="28"/>
                <w:szCs w:val="28"/>
              </w:rPr>
              <w:t>3</w:t>
            </w:r>
            <w:r>
              <w:rPr>
                <w:rFonts w:hint="eastAsia" w:ascii="宋体" w:hAnsi="宋体" w:eastAsia="宋体"/>
                <w:sz w:val="28"/>
                <w:szCs w:val="28"/>
                <w:lang w:val="en-US" w:eastAsia="zh-CN"/>
              </w:rPr>
              <w:t>0</w:t>
            </w:r>
            <w:r>
              <w:rPr>
                <w:rFonts w:hint="eastAsia" w:ascii="宋体" w:hAnsi="宋体" w:eastAsia="宋体"/>
                <w:sz w:val="28"/>
                <w:szCs w:val="28"/>
              </w:rPr>
              <w:t>分</w:t>
            </w:r>
          </w:p>
        </w:tc>
        <w:tc>
          <w:tcPr>
            <w:tcW w:w="5688" w:type="dxa"/>
            <w:noWrap w:val="0"/>
            <w:vAlign w:val="top"/>
          </w:tcPr>
          <w:p>
            <w:pPr>
              <w:spacing w:after="0" w:line="360" w:lineRule="auto"/>
              <w:rPr>
                <w:rFonts w:hint="eastAsia" w:ascii="宋体" w:hAnsi="宋体" w:eastAsia="宋体"/>
                <w:sz w:val="28"/>
                <w:szCs w:val="28"/>
                <w:vertAlign w:val="baseline"/>
              </w:rPr>
            </w:pPr>
            <w:r>
              <w:rPr>
                <w:rFonts w:hint="eastAsia" w:ascii="宋体" w:hAnsi="宋体" w:eastAsia="宋体"/>
                <w:sz w:val="28"/>
                <w:szCs w:val="28"/>
              </w:rPr>
              <w:t>以本次最低有效投标报价为基准价，投标报价得分=(基准价／投标报价)*3</w:t>
            </w:r>
            <w:r>
              <w:rPr>
                <w:rFonts w:hint="eastAsia" w:ascii="宋体" w:hAnsi="宋体" w:eastAsia="宋体"/>
                <w:sz w:val="28"/>
                <w:szCs w:val="28"/>
                <w:lang w:val="en-US" w:eastAsia="zh-CN"/>
              </w:rPr>
              <w:t>0</w:t>
            </w:r>
            <w:r>
              <w:rPr>
                <w:rFonts w:hint="eastAsia" w:ascii="宋体" w:hAnsi="宋体" w:eastAsia="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noWrap w:val="0"/>
            <w:vAlign w:val="center"/>
          </w:tcPr>
          <w:p>
            <w:pPr>
              <w:spacing w:after="0" w:line="360" w:lineRule="auto"/>
              <w:jc w:val="center"/>
              <w:rPr>
                <w:rFonts w:hint="eastAsia" w:ascii="宋体" w:hAnsi="宋体" w:eastAsia="宋体"/>
                <w:sz w:val="28"/>
                <w:szCs w:val="28"/>
                <w:vertAlign w:val="baseline"/>
              </w:rPr>
            </w:pPr>
            <w:r>
              <w:rPr>
                <w:rFonts w:hint="eastAsia" w:ascii="宋体" w:hAnsi="宋体" w:eastAsia="宋体"/>
                <w:sz w:val="28"/>
                <w:szCs w:val="28"/>
              </w:rPr>
              <w:t>2</w:t>
            </w:r>
          </w:p>
        </w:tc>
        <w:tc>
          <w:tcPr>
            <w:tcW w:w="1480" w:type="dxa"/>
            <w:noWrap w:val="0"/>
            <w:vAlign w:val="center"/>
          </w:tcPr>
          <w:p>
            <w:pPr>
              <w:spacing w:after="0" w:line="360" w:lineRule="auto"/>
              <w:jc w:val="center"/>
              <w:rPr>
                <w:rFonts w:hint="eastAsia" w:ascii="宋体" w:hAnsi="宋体" w:eastAsia="宋体"/>
                <w:sz w:val="28"/>
                <w:szCs w:val="28"/>
                <w:vertAlign w:val="baseline"/>
              </w:rPr>
            </w:pPr>
            <w:r>
              <w:rPr>
                <w:rFonts w:hint="eastAsia" w:ascii="宋体" w:hAnsi="宋体" w:eastAsia="宋体"/>
                <w:sz w:val="28"/>
                <w:szCs w:val="28"/>
              </w:rPr>
              <w:t>服务方案25%</w:t>
            </w:r>
          </w:p>
        </w:tc>
        <w:tc>
          <w:tcPr>
            <w:tcW w:w="840" w:type="dxa"/>
            <w:noWrap w:val="0"/>
            <w:vAlign w:val="center"/>
          </w:tcPr>
          <w:p>
            <w:pPr>
              <w:spacing w:after="0" w:line="360" w:lineRule="auto"/>
              <w:jc w:val="center"/>
              <w:rPr>
                <w:rFonts w:hint="eastAsia" w:ascii="宋体" w:hAnsi="宋体" w:eastAsia="宋体"/>
                <w:sz w:val="28"/>
                <w:szCs w:val="28"/>
                <w:vertAlign w:val="baseline"/>
              </w:rPr>
            </w:pPr>
            <w:r>
              <w:rPr>
                <w:rFonts w:hint="eastAsia" w:ascii="宋体" w:hAnsi="宋体" w:eastAsia="宋体"/>
                <w:sz w:val="28"/>
                <w:szCs w:val="28"/>
              </w:rPr>
              <w:t>25分</w:t>
            </w:r>
          </w:p>
        </w:tc>
        <w:tc>
          <w:tcPr>
            <w:tcW w:w="5688" w:type="dxa"/>
            <w:noWrap w:val="0"/>
            <w:vAlign w:val="top"/>
          </w:tcPr>
          <w:p>
            <w:pPr>
              <w:spacing w:after="0" w:line="360" w:lineRule="auto"/>
              <w:rPr>
                <w:rFonts w:hint="eastAsia" w:ascii="宋体" w:hAnsi="宋体" w:eastAsia="宋体"/>
                <w:sz w:val="28"/>
                <w:szCs w:val="28"/>
                <w:lang w:val="en-US" w:eastAsia="zh-CN"/>
              </w:rPr>
            </w:pPr>
            <w:r>
              <w:rPr>
                <w:rFonts w:hint="eastAsia" w:ascii="宋体" w:hAnsi="宋体" w:eastAsia="宋体"/>
                <w:sz w:val="28"/>
                <w:szCs w:val="28"/>
                <w:lang w:val="en-US" w:eastAsia="zh-CN"/>
              </w:rPr>
              <w:t>根投标人针对本项目提供的服务方案内容应包括：①人员团队配置②设备配置③视频策划与设计④拍摄计划及进度安排⑤拍摄准备⑥视频拍摄⑦后期制作⑧售后服务⑨应急预案</w:t>
            </w:r>
            <w:r>
              <w:rPr>
                <w:rFonts w:hint="eastAsia" w:ascii="宋体" w:hAnsi="宋体" w:eastAsia="宋体" w:cs="宋体"/>
                <w:sz w:val="28"/>
                <w:szCs w:val="28"/>
                <w:lang w:val="en-US" w:eastAsia="zh-CN"/>
              </w:rPr>
              <w:t>⑩</w:t>
            </w:r>
            <w:r>
              <w:rPr>
                <w:rFonts w:hint="eastAsia" w:ascii="宋体" w:hAnsi="宋体" w:eastAsia="宋体"/>
                <w:sz w:val="28"/>
                <w:szCs w:val="28"/>
                <w:lang w:val="en-US" w:eastAsia="zh-CN"/>
              </w:rPr>
              <w:t>质量保证等。供应商针对上述10个方面内容在其他投标文件中提供具体方案内容， 方案内容提供完整、全面、详细、重点突出、清楚明了、表述规范、含义准确且完全契合本项目及学校实际采购需求的得25分，针对上述10方面内容，每方面内容设置评审得分为2.5分，每缺少一方面上述内容、不合格或者不符合学校实际需求的扣2.5分，每方面内容中每有一处存在缺陷扣1分，扣完该方面内容设置得分为止。</w:t>
            </w:r>
          </w:p>
          <w:p>
            <w:pPr>
              <w:spacing w:after="0" w:line="360" w:lineRule="auto"/>
              <w:rPr>
                <w:rFonts w:hint="eastAsia" w:ascii="宋体" w:hAnsi="宋体" w:eastAsia="宋体"/>
                <w:sz w:val="28"/>
                <w:szCs w:val="28"/>
                <w:vertAlign w:val="baseline"/>
              </w:rPr>
            </w:pPr>
            <w:r>
              <w:rPr>
                <w:rFonts w:hint="eastAsia" w:ascii="宋体" w:hAnsi="宋体" w:eastAsia="宋体"/>
                <w:sz w:val="28"/>
                <w:szCs w:val="28"/>
                <w:lang w:val="en-US" w:eastAsia="zh-CN"/>
              </w:rPr>
              <w:t xml:space="preserve"> 要求：提供详细的服务方案。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55" w:type="dxa"/>
            <w:noWrap w:val="0"/>
            <w:vAlign w:val="center"/>
          </w:tcPr>
          <w:p>
            <w:pPr>
              <w:spacing w:after="0" w:line="360" w:lineRule="auto"/>
              <w:jc w:val="center"/>
              <w:rPr>
                <w:rFonts w:hint="eastAsia" w:ascii="宋体" w:hAnsi="宋体" w:eastAsia="宋体"/>
                <w:sz w:val="28"/>
                <w:szCs w:val="28"/>
                <w:vertAlign w:val="baseline"/>
              </w:rPr>
            </w:pPr>
            <w:r>
              <w:rPr>
                <w:rFonts w:hint="eastAsia" w:ascii="宋体" w:hAnsi="宋体" w:eastAsia="宋体"/>
                <w:sz w:val="28"/>
                <w:szCs w:val="28"/>
              </w:rPr>
              <w:t>3</w:t>
            </w:r>
          </w:p>
        </w:tc>
        <w:tc>
          <w:tcPr>
            <w:tcW w:w="1480" w:type="dxa"/>
            <w:noWrap w:val="0"/>
            <w:vAlign w:val="center"/>
          </w:tcPr>
          <w:p>
            <w:pPr>
              <w:spacing w:after="0" w:line="360" w:lineRule="auto"/>
              <w:rPr>
                <w:rFonts w:hint="eastAsia" w:ascii="宋体" w:hAnsi="宋体" w:eastAsia="宋体"/>
                <w:sz w:val="28"/>
                <w:szCs w:val="28"/>
              </w:rPr>
            </w:pPr>
            <w:r>
              <w:rPr>
                <w:rFonts w:hint="eastAsia" w:ascii="宋体" w:hAnsi="宋体" w:eastAsia="宋体"/>
                <w:sz w:val="28"/>
                <w:szCs w:val="28"/>
                <w:lang w:val="en-US" w:eastAsia="zh-CN"/>
              </w:rPr>
              <w:t>履约能力10</w:t>
            </w:r>
            <w:r>
              <w:rPr>
                <w:rFonts w:hint="eastAsia" w:ascii="宋体" w:hAnsi="宋体" w:eastAsia="宋体"/>
                <w:sz w:val="28"/>
                <w:szCs w:val="28"/>
              </w:rPr>
              <w:t>%</w:t>
            </w:r>
          </w:p>
        </w:tc>
        <w:tc>
          <w:tcPr>
            <w:tcW w:w="840" w:type="dxa"/>
            <w:noWrap w:val="0"/>
            <w:vAlign w:val="center"/>
          </w:tcPr>
          <w:p>
            <w:pPr>
              <w:spacing w:after="0" w:line="360" w:lineRule="auto"/>
              <w:rPr>
                <w:rFonts w:hint="eastAsia" w:ascii="宋体" w:hAnsi="宋体" w:eastAsia="宋体"/>
                <w:sz w:val="28"/>
                <w:szCs w:val="28"/>
              </w:rPr>
            </w:pPr>
            <w:r>
              <w:rPr>
                <w:rFonts w:hint="eastAsia" w:ascii="宋体" w:hAnsi="宋体" w:eastAsia="宋体"/>
                <w:sz w:val="28"/>
                <w:szCs w:val="28"/>
                <w:lang w:val="en-US" w:eastAsia="zh-CN"/>
              </w:rPr>
              <w:t>10</w:t>
            </w:r>
            <w:r>
              <w:rPr>
                <w:rFonts w:hint="eastAsia" w:ascii="宋体" w:hAnsi="宋体" w:eastAsia="宋体"/>
                <w:sz w:val="28"/>
                <w:szCs w:val="28"/>
              </w:rPr>
              <w:t>分</w:t>
            </w:r>
          </w:p>
        </w:tc>
        <w:tc>
          <w:tcPr>
            <w:tcW w:w="5688" w:type="dxa"/>
            <w:noWrap w:val="0"/>
            <w:vAlign w:val="top"/>
          </w:tcPr>
          <w:p>
            <w:pPr>
              <w:spacing w:after="0" w:line="360" w:lineRule="auto"/>
              <w:rPr>
                <w:rFonts w:hint="default" w:ascii="宋体" w:hAnsi="宋体" w:eastAsia="宋体"/>
                <w:sz w:val="28"/>
                <w:szCs w:val="28"/>
                <w:lang w:val="en-US"/>
              </w:rPr>
            </w:pPr>
            <w:r>
              <w:rPr>
                <w:rFonts w:hint="eastAsia" w:ascii="宋体" w:hAnsi="宋体" w:eastAsia="宋体"/>
                <w:sz w:val="28"/>
                <w:szCs w:val="28"/>
              </w:rPr>
              <w:t>投标人</w:t>
            </w:r>
            <w:r>
              <w:rPr>
                <w:rFonts w:hint="eastAsia" w:ascii="宋体" w:hAnsi="宋体" w:eastAsia="宋体"/>
                <w:color w:val="000000" w:themeColor="text1"/>
                <w:sz w:val="28"/>
                <w:szCs w:val="28"/>
                <w:lang w:val="en-US" w:eastAsia="zh-CN"/>
                <w14:textFill>
                  <w14:solidFill>
                    <w14:schemeClr w14:val="tx1"/>
                  </w14:solidFill>
                </w14:textFill>
              </w:rPr>
              <w:t>具有教学能力竞赛视频录制经验，现场演示包含但不限于思想政治、语文、数学、英语等案例（</w:t>
            </w:r>
            <w:r>
              <w:rPr>
                <w:rFonts w:hint="eastAsia" w:ascii="宋体" w:hAnsi="宋体" w:eastAsia="宋体"/>
                <w:sz w:val="28"/>
                <w:szCs w:val="28"/>
                <w:lang w:val="en-US" w:eastAsia="zh-CN"/>
              </w:rPr>
              <w:t>提供作品视频及获奖证明材料加盖投标人鲜章）。每提供一个得2分，最多得10分。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noWrap w:val="0"/>
            <w:vAlign w:val="center"/>
          </w:tcPr>
          <w:p>
            <w:pPr>
              <w:spacing w:after="0" w:line="360" w:lineRule="auto"/>
              <w:jc w:val="center"/>
              <w:rPr>
                <w:rFonts w:hint="eastAsia" w:ascii="宋体" w:hAnsi="宋体" w:eastAsia="宋体"/>
                <w:sz w:val="28"/>
                <w:szCs w:val="28"/>
              </w:rPr>
            </w:pPr>
          </w:p>
        </w:tc>
        <w:tc>
          <w:tcPr>
            <w:tcW w:w="1480" w:type="dxa"/>
            <w:noWrap w:val="0"/>
            <w:vAlign w:val="center"/>
          </w:tcPr>
          <w:p>
            <w:pPr>
              <w:spacing w:after="0" w:line="360" w:lineRule="auto"/>
              <w:jc w:val="center"/>
              <w:rPr>
                <w:rFonts w:hint="default" w:ascii="宋体" w:hAnsi="宋体" w:eastAsia="宋体"/>
                <w:sz w:val="28"/>
                <w:szCs w:val="28"/>
                <w:lang w:val="en-US" w:eastAsia="zh-CN"/>
              </w:rPr>
            </w:pPr>
            <w:r>
              <w:rPr>
                <w:rFonts w:hint="eastAsia" w:ascii="宋体" w:hAnsi="宋体" w:eastAsia="宋体"/>
                <w:sz w:val="28"/>
                <w:szCs w:val="28"/>
                <w:lang w:val="en-US" w:eastAsia="zh-CN"/>
              </w:rPr>
              <w:t>企业实力20%</w:t>
            </w:r>
          </w:p>
        </w:tc>
        <w:tc>
          <w:tcPr>
            <w:tcW w:w="840" w:type="dxa"/>
            <w:noWrap w:val="0"/>
            <w:vAlign w:val="center"/>
          </w:tcPr>
          <w:p>
            <w:pPr>
              <w:spacing w:after="0" w:line="360" w:lineRule="auto"/>
              <w:jc w:val="center"/>
              <w:rPr>
                <w:rFonts w:hint="default" w:ascii="宋体" w:hAnsi="宋体" w:eastAsia="宋体"/>
                <w:sz w:val="28"/>
                <w:szCs w:val="28"/>
                <w:lang w:val="en-US" w:eastAsia="zh-CN"/>
              </w:rPr>
            </w:pPr>
            <w:r>
              <w:rPr>
                <w:rFonts w:hint="eastAsia" w:ascii="宋体" w:hAnsi="宋体" w:eastAsia="宋体"/>
                <w:sz w:val="28"/>
                <w:szCs w:val="28"/>
                <w:lang w:val="en-US" w:eastAsia="zh-CN"/>
              </w:rPr>
              <w:t>20分</w:t>
            </w:r>
          </w:p>
        </w:tc>
        <w:tc>
          <w:tcPr>
            <w:tcW w:w="5688" w:type="dxa"/>
            <w:noWrap w:val="0"/>
            <w:vAlign w:val="top"/>
          </w:tcPr>
          <w:p>
            <w:pPr>
              <w:spacing w:after="0" w:line="360" w:lineRule="auto"/>
              <w:rPr>
                <w:rFonts w:hint="eastAsia" w:ascii="宋体" w:hAnsi="宋体" w:eastAsia="宋体"/>
                <w:sz w:val="28"/>
                <w:szCs w:val="28"/>
                <w:vertAlign w:val="baseline"/>
              </w:rPr>
            </w:pPr>
            <w:r>
              <w:rPr>
                <w:rFonts w:hint="eastAsia" w:ascii="宋体" w:hAnsi="宋体" w:eastAsia="宋体"/>
                <w:sz w:val="28"/>
                <w:szCs w:val="28"/>
                <w:lang w:val="en-US" w:eastAsia="zh-CN"/>
              </w:rPr>
              <w:t>投标供应商具有竞赛服务平台、在线学习服务平台、教学质量评价与提升管理平台、教学实施跟踪管理服务平台、课程制作及资源库管理平台、直播录播管理服务软件、数字人（虚拟人）创作与应用服务平台、虚拟仿真课程建设与管理服务平台、思政课程专业教学资源库管理与应用服务平台、教学资源库推广服务平台</w:t>
            </w:r>
            <w:r>
              <w:rPr>
                <w:rFonts w:hint="eastAsia" w:ascii="宋体" w:hAnsi="宋体" w:eastAsia="宋体"/>
                <w:sz w:val="28"/>
                <w:szCs w:val="28"/>
                <w:lang w:val="en-US" w:eastAsia="zh-Hans"/>
              </w:rPr>
              <w:t>《计算机软件著作权登记证书</w:t>
            </w:r>
            <w:r>
              <w:rPr>
                <w:rFonts w:hint="eastAsia" w:ascii="宋体" w:hAnsi="宋体" w:eastAsia="宋体"/>
                <w:sz w:val="28"/>
                <w:szCs w:val="28"/>
                <w:lang w:val="en-US" w:eastAsia="zh-CN"/>
              </w:rPr>
              <w:t>》</w:t>
            </w:r>
            <w:r>
              <w:rPr>
                <w:rFonts w:hint="eastAsia" w:ascii="宋体" w:hAnsi="宋体" w:eastAsia="宋体"/>
                <w:sz w:val="28"/>
                <w:szCs w:val="28"/>
                <w:lang w:val="zh-CN" w:eastAsia="zh-CN"/>
              </w:rPr>
              <w:t>（</w:t>
            </w:r>
            <w:r>
              <w:rPr>
                <w:rFonts w:hint="eastAsia" w:ascii="宋体" w:hAnsi="宋体" w:eastAsia="宋体"/>
                <w:sz w:val="28"/>
                <w:szCs w:val="28"/>
                <w:lang w:val="en-US" w:eastAsia="zh-CN"/>
              </w:rPr>
              <w:t>提供证书复印件加盖鲜章并提供国家认可真伪查询截图加盖投标人鲜章</w:t>
            </w:r>
            <w:r>
              <w:rPr>
                <w:rFonts w:hint="eastAsia" w:ascii="宋体" w:hAnsi="宋体" w:eastAsia="宋体"/>
                <w:sz w:val="28"/>
                <w:szCs w:val="28"/>
                <w:lang w:val="zh-CN" w:eastAsia="zh-CN"/>
              </w:rPr>
              <w:t>）</w:t>
            </w:r>
            <w:r>
              <w:rPr>
                <w:rFonts w:hint="eastAsia" w:ascii="宋体" w:hAnsi="宋体" w:eastAsia="宋体"/>
                <w:sz w:val="28"/>
                <w:szCs w:val="28"/>
                <w:lang w:val="en-US" w:eastAsia="zh-Hans"/>
              </w:rPr>
              <w:t>》</w:t>
            </w:r>
            <w:r>
              <w:rPr>
                <w:rFonts w:hint="eastAsia" w:ascii="宋体" w:hAnsi="宋体" w:eastAsia="宋体"/>
                <w:sz w:val="28"/>
                <w:szCs w:val="28"/>
                <w:lang w:val="en-US" w:eastAsia="zh-CN"/>
              </w:rPr>
              <w:t>的每个得2分；最多得20分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noWrap w:val="0"/>
            <w:vAlign w:val="center"/>
          </w:tcPr>
          <w:p>
            <w:pPr>
              <w:spacing w:after="0" w:line="360" w:lineRule="auto"/>
              <w:jc w:val="center"/>
              <w:rPr>
                <w:rFonts w:hint="eastAsia" w:ascii="宋体" w:hAnsi="宋体" w:eastAsia="宋体"/>
                <w:sz w:val="28"/>
                <w:szCs w:val="28"/>
                <w:vertAlign w:val="baseline"/>
              </w:rPr>
            </w:pPr>
            <w:r>
              <w:rPr>
                <w:rFonts w:hint="eastAsia" w:ascii="宋体" w:hAnsi="宋体" w:eastAsia="宋体"/>
                <w:sz w:val="28"/>
                <w:szCs w:val="28"/>
              </w:rPr>
              <w:t>4</w:t>
            </w:r>
          </w:p>
        </w:tc>
        <w:tc>
          <w:tcPr>
            <w:tcW w:w="1480" w:type="dxa"/>
            <w:noWrap w:val="0"/>
            <w:vAlign w:val="center"/>
          </w:tcPr>
          <w:p>
            <w:pPr>
              <w:spacing w:after="0" w:line="360" w:lineRule="auto"/>
              <w:jc w:val="center"/>
              <w:rPr>
                <w:rFonts w:hint="eastAsia" w:ascii="宋体" w:hAnsi="宋体" w:eastAsia="宋体"/>
                <w:sz w:val="28"/>
                <w:szCs w:val="28"/>
                <w:vertAlign w:val="baseline"/>
              </w:rPr>
            </w:pPr>
            <w:r>
              <w:rPr>
                <w:rFonts w:hint="eastAsia" w:ascii="宋体" w:hAnsi="宋体" w:eastAsia="宋体"/>
                <w:sz w:val="28"/>
                <w:szCs w:val="28"/>
                <w:lang w:val="en-US" w:eastAsia="zh-CN"/>
              </w:rPr>
              <w:t>业绩1</w:t>
            </w:r>
            <w:r>
              <w:rPr>
                <w:rFonts w:hint="eastAsia" w:ascii="宋体" w:hAnsi="宋体" w:eastAsia="宋体"/>
                <w:sz w:val="28"/>
                <w:szCs w:val="28"/>
              </w:rPr>
              <w:t>0%</w:t>
            </w:r>
          </w:p>
        </w:tc>
        <w:tc>
          <w:tcPr>
            <w:tcW w:w="840" w:type="dxa"/>
            <w:noWrap w:val="0"/>
            <w:vAlign w:val="center"/>
          </w:tcPr>
          <w:p>
            <w:pPr>
              <w:spacing w:after="0" w:line="360" w:lineRule="auto"/>
              <w:jc w:val="center"/>
              <w:rPr>
                <w:rFonts w:hint="eastAsia" w:ascii="宋体" w:hAnsi="宋体" w:eastAsia="宋体"/>
                <w:sz w:val="28"/>
                <w:szCs w:val="28"/>
                <w:vertAlign w:val="baseline"/>
              </w:rPr>
            </w:pPr>
            <w:r>
              <w:rPr>
                <w:rFonts w:hint="eastAsia" w:ascii="宋体" w:hAnsi="宋体" w:eastAsia="宋体"/>
                <w:sz w:val="28"/>
                <w:szCs w:val="28"/>
                <w:lang w:val="en-US" w:eastAsia="zh-CN"/>
              </w:rPr>
              <w:t>1</w:t>
            </w:r>
            <w:r>
              <w:rPr>
                <w:rFonts w:hint="eastAsia" w:ascii="宋体" w:hAnsi="宋体" w:eastAsia="宋体"/>
                <w:sz w:val="28"/>
                <w:szCs w:val="28"/>
              </w:rPr>
              <w:t>0分</w:t>
            </w:r>
          </w:p>
        </w:tc>
        <w:tc>
          <w:tcPr>
            <w:tcW w:w="5688" w:type="dxa"/>
            <w:noWrap w:val="0"/>
            <w:vAlign w:val="top"/>
          </w:tcPr>
          <w:p>
            <w:pPr>
              <w:spacing w:after="0" w:line="360" w:lineRule="auto"/>
              <w:rPr>
                <w:rFonts w:hint="eastAsia" w:ascii="宋体" w:hAnsi="宋体" w:eastAsia="宋体"/>
                <w:color w:val="auto"/>
                <w:sz w:val="28"/>
                <w:szCs w:val="28"/>
                <w:vertAlign w:val="baseline"/>
              </w:rPr>
            </w:pPr>
            <w:r>
              <w:rPr>
                <w:rFonts w:hint="eastAsia" w:ascii="宋体" w:hAnsi="宋体" w:eastAsia="宋体"/>
                <w:color w:val="auto"/>
                <w:sz w:val="28"/>
                <w:szCs w:val="28"/>
              </w:rPr>
              <w:t>供应商</w:t>
            </w:r>
            <w:r>
              <w:rPr>
                <w:rFonts w:hint="eastAsia" w:ascii="宋体" w:hAnsi="宋体" w:eastAsia="宋体"/>
                <w:sz w:val="28"/>
                <w:szCs w:val="28"/>
                <w:lang w:val="en-US" w:eastAsia="zh-CN"/>
              </w:rPr>
              <w:t>具</w:t>
            </w:r>
            <w:r>
              <w:rPr>
                <w:rFonts w:hint="eastAsia" w:ascii="宋体" w:hAnsi="宋体" w:eastAsia="宋体"/>
                <w:color w:val="auto"/>
                <w:sz w:val="28"/>
                <w:szCs w:val="28"/>
              </w:rPr>
              <w:t>有类似项目业绩的，每提供一个业绩得</w:t>
            </w:r>
            <w:r>
              <w:rPr>
                <w:rFonts w:hint="eastAsia" w:ascii="宋体" w:hAnsi="宋体" w:eastAsia="宋体"/>
                <w:color w:val="auto"/>
                <w:sz w:val="28"/>
                <w:szCs w:val="28"/>
                <w:lang w:val="en-US" w:eastAsia="zh-CN"/>
              </w:rPr>
              <w:t>2</w:t>
            </w:r>
            <w:r>
              <w:rPr>
                <w:rFonts w:hint="eastAsia" w:ascii="宋体" w:hAnsi="宋体" w:eastAsia="宋体"/>
                <w:color w:val="auto"/>
                <w:sz w:val="28"/>
                <w:szCs w:val="28"/>
              </w:rPr>
              <w:t>分，最多得</w:t>
            </w:r>
            <w:r>
              <w:rPr>
                <w:rFonts w:hint="eastAsia" w:ascii="宋体" w:hAnsi="宋体" w:eastAsia="宋体"/>
                <w:color w:val="auto"/>
                <w:sz w:val="28"/>
                <w:szCs w:val="28"/>
                <w:lang w:val="en-US" w:eastAsia="zh-CN"/>
              </w:rPr>
              <w:t>1</w:t>
            </w:r>
            <w:r>
              <w:rPr>
                <w:rFonts w:hint="eastAsia" w:ascii="宋体" w:hAnsi="宋体" w:eastAsia="宋体"/>
                <w:color w:val="auto"/>
                <w:sz w:val="28"/>
                <w:szCs w:val="28"/>
              </w:rPr>
              <w:t>0分。 提供合同（协议）或中标（成交）通知书复印件 共同评分因素</w:t>
            </w:r>
            <w:r>
              <w:rPr>
                <w:rFonts w:hint="eastAsia" w:ascii="宋体" w:hAnsi="宋体" w:eastAsia="宋体"/>
                <w:color w:val="auto"/>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noWrap w:val="0"/>
            <w:vAlign w:val="center"/>
          </w:tcPr>
          <w:p>
            <w:pPr>
              <w:spacing w:after="0" w:line="360" w:lineRule="auto"/>
              <w:jc w:val="center"/>
              <w:rPr>
                <w:rFonts w:hint="eastAsia" w:ascii="宋体" w:hAnsi="宋体" w:eastAsia="宋体"/>
                <w:sz w:val="28"/>
                <w:szCs w:val="28"/>
              </w:rPr>
            </w:pPr>
            <w:r>
              <w:rPr>
                <w:rFonts w:hint="eastAsia" w:ascii="宋体" w:hAnsi="宋体" w:eastAsia="宋体"/>
                <w:sz w:val="28"/>
                <w:szCs w:val="28"/>
              </w:rPr>
              <w:t>5</w:t>
            </w:r>
          </w:p>
        </w:tc>
        <w:tc>
          <w:tcPr>
            <w:tcW w:w="1480" w:type="dxa"/>
            <w:noWrap w:val="0"/>
            <w:vAlign w:val="center"/>
          </w:tcPr>
          <w:p>
            <w:pPr>
              <w:spacing w:after="0" w:line="360" w:lineRule="auto"/>
              <w:jc w:val="center"/>
              <w:rPr>
                <w:rFonts w:hint="eastAsia" w:ascii="宋体" w:hAnsi="宋体" w:eastAsia="宋体"/>
                <w:sz w:val="28"/>
                <w:szCs w:val="28"/>
              </w:rPr>
            </w:pPr>
            <w:r>
              <w:rPr>
                <w:rFonts w:hint="eastAsia" w:ascii="宋体" w:hAnsi="宋体" w:eastAsia="宋体"/>
                <w:sz w:val="28"/>
                <w:szCs w:val="28"/>
              </w:rPr>
              <w:t>响应文件的规范性5%</w:t>
            </w:r>
          </w:p>
        </w:tc>
        <w:tc>
          <w:tcPr>
            <w:tcW w:w="840" w:type="dxa"/>
            <w:noWrap w:val="0"/>
            <w:vAlign w:val="center"/>
          </w:tcPr>
          <w:p>
            <w:pPr>
              <w:spacing w:after="0" w:line="360" w:lineRule="auto"/>
              <w:jc w:val="center"/>
              <w:rPr>
                <w:rFonts w:hint="eastAsia" w:ascii="宋体" w:hAnsi="宋体" w:eastAsia="宋体"/>
                <w:sz w:val="28"/>
                <w:szCs w:val="28"/>
              </w:rPr>
            </w:pPr>
            <w:r>
              <w:rPr>
                <w:rFonts w:hint="eastAsia" w:ascii="宋体" w:hAnsi="宋体" w:eastAsia="宋体"/>
                <w:sz w:val="28"/>
                <w:szCs w:val="28"/>
              </w:rPr>
              <w:t>5分</w:t>
            </w:r>
          </w:p>
        </w:tc>
        <w:tc>
          <w:tcPr>
            <w:tcW w:w="5688" w:type="dxa"/>
            <w:noWrap w:val="0"/>
            <w:vAlign w:val="top"/>
          </w:tcPr>
          <w:p>
            <w:pPr>
              <w:spacing w:after="0" w:line="360" w:lineRule="auto"/>
              <w:rPr>
                <w:rFonts w:hint="eastAsia" w:ascii="宋体" w:hAnsi="宋体" w:eastAsia="宋体"/>
                <w:color w:val="auto"/>
                <w:sz w:val="28"/>
                <w:szCs w:val="28"/>
                <w:vertAlign w:val="baseline"/>
              </w:rPr>
            </w:pPr>
            <w:r>
              <w:rPr>
                <w:rFonts w:hint="eastAsia" w:ascii="宋体" w:hAnsi="宋体" w:eastAsia="宋体"/>
                <w:color w:val="auto"/>
                <w:sz w:val="28"/>
                <w:szCs w:val="28"/>
              </w:rPr>
              <w:t>响应文件制作规范，没有细微偏差情形的得5分；有一项细微偏差扣1分，直至该项分值扣完为止。 以响应文件为准。</w:t>
            </w:r>
          </w:p>
        </w:tc>
      </w:tr>
    </w:tbl>
    <w:p>
      <w:pPr>
        <w:rPr>
          <w:rFonts w:hint="eastAsia"/>
          <w:lang w:val="en-US" w:eastAsia="zh-CN"/>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8</w:t>
    </w:r>
    <w: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end"/>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mNjUyZmEwOGZiMjEwM2U4MWRiZTgzMzdlZTRhOTYifQ=="/>
  </w:docVars>
  <w:rsids>
    <w:rsidRoot w:val="00993C94"/>
    <w:rsid w:val="00002786"/>
    <w:rsid w:val="000D5034"/>
    <w:rsid w:val="00144126"/>
    <w:rsid w:val="001555BF"/>
    <w:rsid w:val="00167686"/>
    <w:rsid w:val="00172014"/>
    <w:rsid w:val="00172913"/>
    <w:rsid w:val="00216F4B"/>
    <w:rsid w:val="00372A77"/>
    <w:rsid w:val="003D020C"/>
    <w:rsid w:val="003E2486"/>
    <w:rsid w:val="003F175B"/>
    <w:rsid w:val="004A50A8"/>
    <w:rsid w:val="00513B3C"/>
    <w:rsid w:val="0053210E"/>
    <w:rsid w:val="00552915"/>
    <w:rsid w:val="00555EB6"/>
    <w:rsid w:val="005561FC"/>
    <w:rsid w:val="005D65EF"/>
    <w:rsid w:val="00692934"/>
    <w:rsid w:val="006B1BF4"/>
    <w:rsid w:val="006E7D2A"/>
    <w:rsid w:val="007023D1"/>
    <w:rsid w:val="007138BC"/>
    <w:rsid w:val="00740D85"/>
    <w:rsid w:val="00781DDE"/>
    <w:rsid w:val="007B7508"/>
    <w:rsid w:val="00873D1C"/>
    <w:rsid w:val="00993C94"/>
    <w:rsid w:val="009B3850"/>
    <w:rsid w:val="00AA6EFA"/>
    <w:rsid w:val="00AB772A"/>
    <w:rsid w:val="00AC0D52"/>
    <w:rsid w:val="00BA1D4F"/>
    <w:rsid w:val="00BA4DB0"/>
    <w:rsid w:val="00BE31AE"/>
    <w:rsid w:val="00D45C1A"/>
    <w:rsid w:val="00D90E09"/>
    <w:rsid w:val="00DF15C5"/>
    <w:rsid w:val="00FA0081"/>
    <w:rsid w:val="00FB1C39"/>
    <w:rsid w:val="00FD0E82"/>
    <w:rsid w:val="0195181D"/>
    <w:rsid w:val="01BA47FE"/>
    <w:rsid w:val="01FE7DC7"/>
    <w:rsid w:val="03E7719E"/>
    <w:rsid w:val="050545F2"/>
    <w:rsid w:val="05362D91"/>
    <w:rsid w:val="054D2346"/>
    <w:rsid w:val="07B1346D"/>
    <w:rsid w:val="08AE45AF"/>
    <w:rsid w:val="0CBA5AA5"/>
    <w:rsid w:val="0D502670"/>
    <w:rsid w:val="0D741B74"/>
    <w:rsid w:val="0D99558D"/>
    <w:rsid w:val="0EFB5683"/>
    <w:rsid w:val="12E63316"/>
    <w:rsid w:val="13465DE5"/>
    <w:rsid w:val="147D0A0C"/>
    <w:rsid w:val="1483252D"/>
    <w:rsid w:val="14D224A3"/>
    <w:rsid w:val="14FC4FD4"/>
    <w:rsid w:val="17F63D97"/>
    <w:rsid w:val="184F72D5"/>
    <w:rsid w:val="19ED0E26"/>
    <w:rsid w:val="1AC07974"/>
    <w:rsid w:val="1BAF242A"/>
    <w:rsid w:val="1C574CF8"/>
    <w:rsid w:val="1F912C79"/>
    <w:rsid w:val="215356D3"/>
    <w:rsid w:val="23226EE4"/>
    <w:rsid w:val="257D4FF1"/>
    <w:rsid w:val="258F7C33"/>
    <w:rsid w:val="260F2BFD"/>
    <w:rsid w:val="289719BF"/>
    <w:rsid w:val="295C1096"/>
    <w:rsid w:val="29BB22E0"/>
    <w:rsid w:val="2A1B7FB7"/>
    <w:rsid w:val="2B290C97"/>
    <w:rsid w:val="2B6A36FC"/>
    <w:rsid w:val="2D717B83"/>
    <w:rsid w:val="2E026D5B"/>
    <w:rsid w:val="2E0D3856"/>
    <w:rsid w:val="2EC54DBD"/>
    <w:rsid w:val="2EFF4BA4"/>
    <w:rsid w:val="2F28097A"/>
    <w:rsid w:val="2F7C0184"/>
    <w:rsid w:val="2FCD7A97"/>
    <w:rsid w:val="2FF23551"/>
    <w:rsid w:val="303A3C47"/>
    <w:rsid w:val="30C470EB"/>
    <w:rsid w:val="31DB1D52"/>
    <w:rsid w:val="32691EDD"/>
    <w:rsid w:val="33DE60B6"/>
    <w:rsid w:val="34380ADD"/>
    <w:rsid w:val="34B75889"/>
    <w:rsid w:val="35CD64CB"/>
    <w:rsid w:val="362F5A87"/>
    <w:rsid w:val="36667F19"/>
    <w:rsid w:val="36932353"/>
    <w:rsid w:val="37FA295B"/>
    <w:rsid w:val="39181164"/>
    <w:rsid w:val="391F20F8"/>
    <w:rsid w:val="39BB51AB"/>
    <w:rsid w:val="3A907D71"/>
    <w:rsid w:val="3ADC3D1A"/>
    <w:rsid w:val="3B473507"/>
    <w:rsid w:val="3C52625A"/>
    <w:rsid w:val="3E48322D"/>
    <w:rsid w:val="3E883C51"/>
    <w:rsid w:val="43022776"/>
    <w:rsid w:val="44A34C9C"/>
    <w:rsid w:val="460E31E1"/>
    <w:rsid w:val="465559F0"/>
    <w:rsid w:val="471E47C0"/>
    <w:rsid w:val="48842AC8"/>
    <w:rsid w:val="48883E44"/>
    <w:rsid w:val="4AEB54E0"/>
    <w:rsid w:val="4F3D383D"/>
    <w:rsid w:val="4F973966"/>
    <w:rsid w:val="503C3449"/>
    <w:rsid w:val="50822EA2"/>
    <w:rsid w:val="516C52D7"/>
    <w:rsid w:val="5183485C"/>
    <w:rsid w:val="52FB65F5"/>
    <w:rsid w:val="537105A6"/>
    <w:rsid w:val="54A61034"/>
    <w:rsid w:val="54FA4F73"/>
    <w:rsid w:val="5538589B"/>
    <w:rsid w:val="568E390F"/>
    <w:rsid w:val="576D0850"/>
    <w:rsid w:val="58EA60C7"/>
    <w:rsid w:val="592A3913"/>
    <w:rsid w:val="5A2A1420"/>
    <w:rsid w:val="5B434DCF"/>
    <w:rsid w:val="5B504EEC"/>
    <w:rsid w:val="5B7A615F"/>
    <w:rsid w:val="5B955E82"/>
    <w:rsid w:val="5DC502DF"/>
    <w:rsid w:val="5E010F9A"/>
    <w:rsid w:val="5E180441"/>
    <w:rsid w:val="5E3457DC"/>
    <w:rsid w:val="5E766AE3"/>
    <w:rsid w:val="61333292"/>
    <w:rsid w:val="613A5D56"/>
    <w:rsid w:val="61573A53"/>
    <w:rsid w:val="62210FCA"/>
    <w:rsid w:val="62A9635D"/>
    <w:rsid w:val="64D13A34"/>
    <w:rsid w:val="64E14316"/>
    <w:rsid w:val="650C000A"/>
    <w:rsid w:val="659D6303"/>
    <w:rsid w:val="65AD6821"/>
    <w:rsid w:val="65C93A3F"/>
    <w:rsid w:val="66647AF7"/>
    <w:rsid w:val="6665770E"/>
    <w:rsid w:val="66BD2F7A"/>
    <w:rsid w:val="67740AAC"/>
    <w:rsid w:val="682214A4"/>
    <w:rsid w:val="6BFC2E8C"/>
    <w:rsid w:val="6C0C6FF2"/>
    <w:rsid w:val="6D577BEA"/>
    <w:rsid w:val="704A61E7"/>
    <w:rsid w:val="74806772"/>
    <w:rsid w:val="74BC7EE8"/>
    <w:rsid w:val="75BC1BB8"/>
    <w:rsid w:val="793D6ADE"/>
    <w:rsid w:val="7BEE4736"/>
    <w:rsid w:val="7E0F6F19"/>
    <w:rsid w:val="7E39088F"/>
    <w:rsid w:val="7E3E4457"/>
    <w:rsid w:val="7EB82EBB"/>
    <w:rsid w:val="7F0837E0"/>
    <w:rsid w:val="7F26551C"/>
    <w:rsid w:val="7F6615A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Symbol" w:hAnsi="Symbol" w:eastAsia="宋体" w:cs="Symbo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5">
    <w:name w:val="Default Paragraph Font"/>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widowControl/>
      <w:spacing w:before="100" w:beforeAutospacing="1" w:after="100" w:afterAutospacing="1"/>
      <w:jc w:val="left"/>
    </w:pPr>
    <w:rPr>
      <w:rFonts w:ascii="宋体" w:hAnsi="宋体"/>
      <w:kern w:val="0"/>
      <w:sz w:val="24"/>
    </w:rPr>
  </w:style>
  <w:style w:type="paragraph" w:styleId="4">
    <w:name w:val="Body Text Indent"/>
    <w:basedOn w:val="1"/>
    <w:autoRedefine/>
    <w:qFormat/>
    <w:uiPriority w:val="0"/>
    <w:pPr>
      <w:spacing w:after="120"/>
      <w:ind w:left="420" w:leftChars="200"/>
    </w:pPr>
  </w:style>
  <w:style w:type="paragraph" w:styleId="5">
    <w:name w:val="List 2"/>
    <w:basedOn w:val="1"/>
    <w:autoRedefine/>
    <w:qFormat/>
    <w:uiPriority w:val="0"/>
    <w:pPr>
      <w:ind w:left="100" w:leftChars="200" w:hanging="200" w:hangingChars="200"/>
    </w:pPr>
  </w:style>
  <w:style w:type="paragraph" w:styleId="6">
    <w:name w:val="Date"/>
    <w:basedOn w:val="1"/>
    <w:next w:val="1"/>
    <w:autoRedefine/>
    <w:qFormat/>
    <w:uiPriority w:val="0"/>
    <w:pPr>
      <w:ind w:left="100" w:leftChars="2500"/>
    </w:pPr>
    <w:rPr>
      <w:rFonts w:ascii="宋体" w:hAnsi="宋体" w:cs="Arial"/>
      <w:sz w:val="24"/>
    </w:rPr>
  </w:style>
  <w:style w:type="paragraph" w:styleId="7">
    <w:name w:val="Body Text Indent 2"/>
    <w:basedOn w:val="1"/>
    <w:autoRedefine/>
    <w:qFormat/>
    <w:uiPriority w:val="0"/>
    <w:pPr>
      <w:wordWrap w:val="0"/>
      <w:spacing w:line="432" w:lineRule="auto"/>
      <w:ind w:firstLine="480"/>
    </w:pPr>
    <w:rPr>
      <w:sz w:val="24"/>
    </w:rPr>
  </w:style>
  <w:style w:type="paragraph" w:styleId="8">
    <w:name w:val="Balloon Text"/>
    <w:basedOn w:val="1"/>
    <w:autoRedefine/>
    <w:semiHidden/>
    <w:qFormat/>
    <w:uiPriority w:val="0"/>
    <w:rPr>
      <w:sz w:val="18"/>
      <w:szCs w:val="18"/>
    </w:rPr>
  </w:style>
  <w:style w:type="paragraph" w:styleId="9">
    <w:name w:val="footer"/>
    <w:basedOn w:val="1"/>
    <w:autoRedefine/>
    <w:qFormat/>
    <w:uiPriority w:val="0"/>
    <w:pPr>
      <w:tabs>
        <w:tab w:val="center" w:pos="4153"/>
        <w:tab w:val="right" w:pos="8306"/>
      </w:tabs>
      <w:snapToGrid w:val="0"/>
      <w:jc w:val="left"/>
    </w:pPr>
    <w:rPr>
      <w:sz w:val="18"/>
      <w:szCs w:val="18"/>
    </w:rPr>
  </w:style>
  <w:style w:type="paragraph" w:styleId="10">
    <w:name w:val="header"/>
    <w:basedOn w:val="1"/>
    <w:link w:val="19"/>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List Continue 2"/>
    <w:basedOn w:val="1"/>
    <w:autoRedefine/>
    <w:qFormat/>
    <w:uiPriority w:val="0"/>
    <w:pPr>
      <w:spacing w:after="120"/>
      <w:ind w:left="840" w:leftChars="400"/>
    </w:pPr>
  </w:style>
  <w:style w:type="paragraph" w:styleId="12">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4">
    <w:name w:val="Table Grid"/>
    <w:basedOn w:val="13"/>
    <w:qFormat/>
    <w:uiPriority w:val="59"/>
    <w:rPr>
      <w:rFonts w:ascii="等线" w:hAnsi="等线" w:eastAsia="等线"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autoRedefine/>
    <w:qFormat/>
    <w:uiPriority w:val="0"/>
    <w:rPr>
      <w:b/>
      <w:bCs/>
    </w:rPr>
  </w:style>
  <w:style w:type="character" w:styleId="17">
    <w:name w:val="page number"/>
    <w:basedOn w:val="15"/>
    <w:autoRedefine/>
    <w:qFormat/>
    <w:uiPriority w:val="0"/>
  </w:style>
  <w:style w:type="character" w:styleId="18">
    <w:name w:val="Hyperlink"/>
    <w:basedOn w:val="15"/>
    <w:autoRedefine/>
    <w:qFormat/>
    <w:uiPriority w:val="0"/>
    <w:rPr>
      <w:color w:val="0000FF"/>
      <w:u w:val="single"/>
    </w:rPr>
  </w:style>
  <w:style w:type="character" w:customStyle="1" w:styleId="19">
    <w:name w:val="页眉 Char"/>
    <w:basedOn w:val="15"/>
    <w:link w:val="10"/>
    <w:autoRedefine/>
    <w:qFormat/>
    <w:uiPriority w:val="0"/>
    <w:rPr>
      <w:kern w:val="2"/>
      <w:sz w:val="18"/>
      <w:szCs w:val="18"/>
    </w:rPr>
  </w:style>
  <w:style w:type="paragraph" w:customStyle="1" w:styleId="20">
    <w:name w:val="Default"/>
    <w:qFormat/>
    <w:uiPriority w:val="99"/>
    <w:pPr>
      <w:widowControl w:val="0"/>
      <w:autoSpaceDE w:val="0"/>
      <w:autoSpaceDN w:val="0"/>
      <w:adjustRightInd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番茄花园</Company>
  <Pages>5</Pages>
  <Words>464</Words>
  <Characters>2647</Characters>
  <Lines>22</Lines>
  <Paragraphs>6</Paragraphs>
  <TotalTime>4</TotalTime>
  <ScaleCrop>false</ScaleCrop>
  <LinksUpToDate>false</LinksUpToDate>
  <CharactersWithSpaces>3105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2016-12-01T05:49:00Z</dcterms:created>
  <dc:creator>番茄花园</dc:creator>
  <cp:lastModifiedBy>從開始到現在</cp:lastModifiedBy>
  <cp:lastPrinted>2023-10-20T05:40:00Z</cp:lastPrinted>
  <dcterms:modified xsi:type="dcterms:W3CDTF">2024-04-22T05:41:09Z</dcterms:modified>
  <dc:title>彭州市军乐职业中学校园文化建设方案</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KSORubyTemplateID">
    <vt:lpwstr>6</vt:lpwstr>
  </property>
  <property fmtid="{D5CDD505-2E9C-101B-9397-08002B2CF9AE}" pid="4" name="ICV">
    <vt:lpwstr>77A5D0BA25204C7BAE28B74E6A86D946</vt:lpwstr>
  </property>
</Properties>
</file>